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png" ContentType="image/png"/>
  <Override PartName="/word/styles.xml" ContentType="application/vnd.openxmlformats-officedocument.wordprocessingml.styles+xml"/>
  <Override PartName="/word/settings.xml" ContentType="application/vnd.openxmlformats-officedocument.wordprocessingml.settings+xml"/>
  <Override PartName="/word/header0.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8"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35"/>
        <w:gridCol w:w="21044"/>
        <w:gridCol w:w="3386"/>
        <w:gridCol w:w="524"/>
      </w:tblGrid>
      <w:tr>
        <w:trPr>
          <w:trHeight w:val="254"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Naručitelj: Javna ustanova Natura - Jadera</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10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Datum zadnje izmjene: 21.07.2026</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79"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0"/>
                    </w:rPr>
                    <w:t xml:space="preserve">Datum ustrojavanja registra: 22.02.2019</w:t>
                  </w:r>
                </w:p>
              </w:tc>
            </w:tr>
          </w:tbl>
          <w:p>
            <w:pPr>
              <w:spacing w:after="0" w:line="240" w:lineRule="auto"/>
            </w:pPr>
          </w:p>
        </w:tc>
        <w:tc>
          <w:tcPr>
            <w:tcW w:w="21044" w:type="dxa"/>
            <w:hMerge w:val="continue"/>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79"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417"/>
              <w:gridCol w:w="1837"/>
              <w:gridCol w:w="866"/>
              <w:gridCol w:w="1417"/>
              <w:gridCol w:w="1192"/>
              <w:gridCol w:w="1252"/>
              <w:gridCol w:w="1196"/>
              <w:gridCol w:w="967"/>
              <w:gridCol w:w="1012"/>
              <w:gridCol w:w="1247"/>
              <w:gridCol w:w="937"/>
              <w:gridCol w:w="1096"/>
              <w:gridCol w:w="1012"/>
              <w:gridCol w:w="1247"/>
              <w:gridCol w:w="990"/>
              <w:gridCol w:w="1087"/>
              <w:gridCol w:w="1867"/>
              <w:gridCol w:w="2002"/>
              <w:gridCol w:w="892"/>
              <w:gridCol w:w="892"/>
            </w:tblGrid>
            <w:tr>
              <w:trPr>
                <w:trHeight w:val="262" w:hRule="atLeast"/>
              </w:trPr>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w:t>
                  </w:r>
                </w:p>
              </w:tc>
              <w:tc>
                <w:tcPr>
                  <w:tcW w:w="18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2.</w:t>
                  </w:r>
                </w:p>
              </w:tc>
              <w:tc>
                <w:tcPr>
                  <w:tcW w:w="86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3.</w:t>
                  </w:r>
                </w:p>
              </w:tc>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4.</w:t>
                  </w:r>
                </w:p>
              </w:tc>
              <w:tc>
                <w:tcPr>
                  <w:tcW w:w="11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5.</w:t>
                  </w:r>
                </w:p>
              </w:tc>
              <w:tc>
                <w:tcPr>
                  <w:tcW w:w="125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6.</w:t>
                  </w:r>
                </w:p>
              </w:tc>
              <w:tc>
                <w:tcPr>
                  <w:tcW w:w="11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7.</w:t>
                  </w:r>
                </w:p>
              </w:tc>
              <w:tc>
                <w:tcPr>
                  <w:tcW w:w="9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8.</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9.</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10.</w:t>
                  </w:r>
                </w:p>
              </w:tc>
              <w:tc>
                <w:tcPr>
                  <w:tcW w:w="9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11.</w:t>
                  </w:r>
                </w:p>
              </w:tc>
              <w:tc>
                <w:tcPr>
                  <w:tcW w:w="10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12.</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13.</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14.</w:t>
                  </w:r>
                </w:p>
              </w:tc>
              <w:tc>
                <w:tcPr>
                  <w:tcW w:w="990"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15.</w:t>
                  </w:r>
                </w:p>
              </w:tc>
              <w:tc>
                <w:tcPr>
                  <w:tcW w:w="108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16.</w:t>
                  </w:r>
                </w:p>
              </w:tc>
              <w:tc>
                <w:tcPr>
                  <w:tcW w:w="18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17.</w:t>
                  </w:r>
                </w:p>
              </w:tc>
              <w:tc>
                <w:tcPr>
                  <w:tcW w:w="200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18.</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pPr>
                </w:p>
              </w:tc>
            </w:tr>
            <w:tr>
              <w:trPr>
                <w:trHeight w:val="1327" w:hRule="atLeast"/>
              </w:trPr>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Evidencijski broj nabave</w:t>
                  </w:r>
                </w:p>
              </w:tc>
              <w:tc>
                <w:tcPr>
                  <w:tcW w:w="18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Predmet nabave</w:t>
                  </w:r>
                </w:p>
              </w:tc>
              <w:tc>
                <w:tcPr>
                  <w:tcW w:w="86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CPV</w:t>
                  </w:r>
                </w:p>
              </w:tc>
              <w:tc>
                <w:tcPr>
                  <w:tcW w:w="141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Broj objave iz EOJN RH</w:t>
                  </w:r>
                </w:p>
              </w:tc>
              <w:tc>
                <w:tcPr>
                  <w:tcW w:w="11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Vrsta postupka </w:t>
                  </w:r>
                </w:p>
              </w:tc>
              <w:tc>
                <w:tcPr>
                  <w:tcW w:w="125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Naziv i OIB ugovaratelja</w:t>
                  </w:r>
                </w:p>
              </w:tc>
              <w:tc>
                <w:tcPr>
                  <w:tcW w:w="11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Naziv i OIB podugovaratelja</w:t>
                  </w:r>
                </w:p>
              </w:tc>
              <w:tc>
                <w:tcPr>
                  <w:tcW w:w="9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sklapanja</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Oznaka/broj ugovora</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Rok na koji je sklopljen</w:t>
                  </w:r>
                </w:p>
              </w:tc>
              <w:tc>
                <w:tcPr>
                  <w:tcW w:w="93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Iznos bez PDV-a</w:t>
                  </w:r>
                </w:p>
              </w:tc>
              <w:tc>
                <w:tcPr>
                  <w:tcW w:w="1096"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Iznos PDV-a</w:t>
                  </w:r>
                </w:p>
              </w:tc>
              <w:tc>
                <w:tcPr>
                  <w:tcW w:w="101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Ukupni iznos s PDV-om</w:t>
                  </w:r>
                </w:p>
              </w:tc>
              <w:tc>
                <w:tcPr>
                  <w:tcW w:w="124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Ugovor se financira iz fondova EU</w:t>
                  </w:r>
                </w:p>
              </w:tc>
              <w:tc>
                <w:tcPr>
                  <w:tcW w:w="990"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izvršenja</w:t>
                  </w:r>
                </w:p>
              </w:tc>
              <w:tc>
                <w:tcPr>
                  <w:tcW w:w="108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Ukupni isplaćeni iznos s PDV-om</w:t>
                  </w:r>
                </w:p>
              </w:tc>
              <w:tc>
                <w:tcPr>
                  <w:tcW w:w="1867"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Obrazloženja</w:t>
                  </w:r>
                </w:p>
              </w:tc>
              <w:tc>
                <w:tcPr>
                  <w:tcW w:w="200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Napomena</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objave</w:t>
                  </w:r>
                </w:p>
              </w:tc>
              <w:tc>
                <w:tcPr>
                  <w:tcW w:w="892" w:type="dxa"/>
                  <w:tcBorders>
                    <w:top w:val="single" w:color="000000" w:sz="7"/>
                    <w:left w:val="single" w:color="000000" w:sz="7"/>
                    <w:bottom w:val="single" w:color="000000" w:sz="7"/>
                    <w:right w:val="single" w:color="000000" w:sz="7"/>
                  </w:tcBorders>
                  <w:shd w:val="clear" w:fill="87CEFA"/>
                  <w:tcMar>
                    <w:top w:w="39" w:type="dxa"/>
                    <w:left w:w="39" w:type="dxa"/>
                    <w:bottom w:w="39" w:type="dxa"/>
                    <w:right w:w="39" w:type="dxa"/>
                  </w:tcMar>
                </w:tcPr>
                <w:p>
                  <w:pPr>
                    <w:spacing w:after="0" w:line="240" w:lineRule="auto"/>
                    <w:jc w:val="center"/>
                  </w:pPr>
                  <w:r>
                    <w:rPr>
                      <w:rFonts w:ascii="Arial" w:hAnsi="Arial" w:eastAsia="Arial"/>
                      <w:b/>
                      <w:color w:val="000000"/>
                      <w:sz w:val="16"/>
                    </w:rPr>
                    <w:t xml:space="preserve">Datum ažuriranja</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3/2018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Odvoz komunalnog otpada iz uvale Sakarun na Dugom otoku</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90512000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Mulić d.o.o. Sali 32779696403</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01.06.2018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Klasa:003-03/18-01/117, Urbroj:2198/1-88-18-1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neodređeno</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20.000,00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5.000,00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25.000,00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30.09.2018</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25.000,00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22.02.2019</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22.02.2019</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7/2018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Čišćenje, ukrcaj i odvoz posidonije s plaže Sakarun na Dugom otoku</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90680000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HANA obrt za dim.usl. i prip.rad. na grad. 24364000253</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08.05.2018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Narudžbenica 7/2018</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Narudžbenica, mjesec svibanj</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30.000,00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7.500,00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37.500,00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11.05.2018</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37.500,00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22.02.2019</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22.02.2019</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10/2018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Čišćenje, ukrcaj i odvoz trave na obližnji deponij i montaža suncobrana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90680000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HANA obrt za dim.usl. i prip.rad. na grad. 24364000253</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05.06.2018</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Narudžbenica 10/2018</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Narudžbenica, do 5.7.2018.</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31.000,00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7.750,00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38.750,00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05.07.2018</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38.750,00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22.02.2019</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22.02.2019</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3/2019</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Izrada informativnih tabli</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30195600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Beato Signal d.o.o. 38481082519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13.05.2019</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003-03/19-01/4, Urbroj: 2198/1-88-19-3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do kraja 2019.</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44.350,00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11.087,50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55.437,50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24.06.2019</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55.437,50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04.02.2020</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04.02.2020</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4/2019</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Istraživanje i kartiranje kopnene kornjače (Testudo hermanni), kravosasa (Elaphe quatorlineata) i crvenkrpice (Zamenis situla)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73110000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BIOTA d.o.o. 00559208747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15.01.2019</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641-02/18-01/110, Urbroj: 2198/1-88-18-3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 studenoga 2019.</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43.981,00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14.660,25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58.641,25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31.10.2019</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58.641,25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04.02.2020</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04.02.2020</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5/2019</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izrade Akcijskog plana upravljanja posjetiteljima u značajnom krajobrazu Sjeverozapadni dio Dugog otoka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73110000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Udruga za prirodu, okoliš i održivi razvoj Sunce 17644269011</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13.02.2019</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Klasa:030-06/19-01/19, Urbroj: 2198/1-88-19-5</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31.12.2019.</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61.500,00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20.500,00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82.000,00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31.01.2020</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82.000,00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04.02.2020</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04.02.2020</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6/2019</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izrade stručne studije izgleda, gabarita, položaja i funkcije turističkih objekata na plaži Sakarun s posebnim naglaskom na očuvanje prirodnih vrijednosti područja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71240000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Medi terra d.o.o. 48807091707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03.06.2019</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030-06/19-01/13, Urbroj: 2198/1-88-19-9</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do 31.12.2019.</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55.000,00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13.750,00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68.750,00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21.10.2019</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68.750,00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04.02.2020</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04.02.2020</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10/2019</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izrade dokumenta za očuvanje močvarnog staništa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90710000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AB OVO doo 25657650895</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06.12.2019</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403-06/18-01/106, Urbroj: 2198/1-88-18-13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do 31.5.2021.</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125.625,00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41.875,00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167.500,00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09.07.2021</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167.500,00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Financirano iz projekta CREW</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04.02.2020</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15.07.2021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1/2020</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mjerenja</w:t>
                  </w:r>
                  <w:r>
                    <w:rPr>
                      <w:rFonts w:ascii="Arial" w:hAnsi="Arial" w:eastAsia="Arial"/>
                      <w:color w:val="000000"/>
                      <w:sz w:val="14"/>
                    </w:rPr>
                    <w:br/>
                    <w:t xml:space="preserve">koncentracije radona u</w:t>
                  </w:r>
                  <w:r>
                    <w:rPr>
                      <w:rFonts w:ascii="Arial" w:hAnsi="Arial" w:eastAsia="Arial"/>
                      <w:color w:val="000000"/>
                      <w:sz w:val="14"/>
                    </w:rPr>
                    <w:br/>
                    <w:t xml:space="preserve">špilji Modrič</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90731400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Sveučilište Josipa Jurja Strossmayera u Osijeku, Odjel za fiziku 78808975734</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04.03.2020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KLASA:641-02/19-01/102</w:t>
                  </w:r>
                  <w:r>
                    <w:rPr>
                      <w:rFonts w:ascii="Arial" w:hAnsi="Arial" w:eastAsia="Arial"/>
                      <w:color w:val="000000"/>
                      <w:sz w:val="14"/>
                    </w:rPr>
                    <w:br/>
                    <w:t xml:space="preserve">URBROJ:2198/1-88-20-9</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31.12.2021.</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61.852,00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15.463,00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77.315,00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09.12.2020</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38.657,50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Prva rata uz dostavljeno izvješće</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08.01.2021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08.01.2021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4/2020</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organizacije</w:t>
                  </w:r>
                  <w:r>
                    <w:rPr>
                      <w:rFonts w:ascii="Arial" w:hAnsi="Arial" w:eastAsia="Arial"/>
                      <w:color w:val="000000"/>
                      <w:sz w:val="14"/>
                    </w:rPr>
                    <w:br/>
                    <w:t xml:space="preserve">tematskih radionica,</w:t>
                  </w:r>
                  <w:r>
                    <w:rPr>
                      <w:rFonts w:ascii="Arial" w:hAnsi="Arial" w:eastAsia="Arial"/>
                      <w:color w:val="000000"/>
                      <w:sz w:val="14"/>
                    </w:rPr>
                    <w:br/>
                    <w:t xml:space="preserve">okruglih stolova i</w:t>
                  </w:r>
                  <w:r>
                    <w:rPr>
                      <w:rFonts w:ascii="Arial" w:hAnsi="Arial" w:eastAsia="Arial"/>
                      <w:color w:val="000000"/>
                      <w:sz w:val="14"/>
                    </w:rPr>
                    <w:br/>
                    <w:t xml:space="preserve">stručnih skupova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79952000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Bilaver savjetovanje d.o.o. 77491803944</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12.03.2020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KLASA:003-03/18-01/26</w:t>
                  </w:r>
                  <w:r>
                    <w:rPr>
                      <w:rFonts w:ascii="Arial" w:hAnsi="Arial" w:eastAsia="Arial"/>
                      <w:color w:val="000000"/>
                      <w:sz w:val="14"/>
                    </w:rPr>
                    <w:br/>
                    <w:t xml:space="preserve">URBROJ:2198/1-88-20-16</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31.12.2020.</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142.560,00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35.640,00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178.200,00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Da</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29.12.2021</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178.200,00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Ugovor Aneksom 29.12.2020. produžen do 31.12.2021. radi odgođenih projektnih aktivnosti u 2020. godini</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08.01.2021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26.01.2022</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8/2020</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Radovi na obnovi promatračnica u posebnim rezervatima</w:t>
                  </w:r>
                  <w:r>
                    <w:rPr>
                      <w:rFonts w:ascii="Arial" w:hAnsi="Arial" w:eastAsia="Arial"/>
                      <w:color w:val="000000"/>
                      <w:sz w:val="14"/>
                    </w:rPr>
                    <w:br/>
                    <w:t xml:space="preserve">Veliko i Malo blato te</w:t>
                  </w:r>
                  <w:r>
                    <w:rPr>
                      <w:rFonts w:ascii="Arial" w:hAnsi="Arial" w:eastAsia="Arial"/>
                      <w:color w:val="000000"/>
                      <w:sz w:val="14"/>
                    </w:rPr>
                    <w:br/>
                    <w:t xml:space="preserve">Kolansko blato-blato Rogoza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45421000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TITAN GRADNJA j.d.o.o. za graditeljstvo i usluge 81973384277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16.06.2020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Narudžbenica 21/20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30.6.2020.</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27.140,00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27.140,00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Da</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30.06.2020</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27.140,00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Projekt MedISWet - donacija WWF Adria</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08.01.2021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08.01.2021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9/2020</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Geomorfološka analiza plaže Sakarun</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71351913</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PRIRODOSLOVNO MATEMATIČKI FAKULTET 28163265527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07.09.2020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KLASA:403-06/19-01/63</w:t>
                  </w:r>
                  <w:r>
                    <w:rPr>
                      <w:rFonts w:ascii="Arial" w:hAnsi="Arial" w:eastAsia="Arial"/>
                      <w:color w:val="000000"/>
                      <w:sz w:val="14"/>
                    </w:rPr>
                    <w:br/>
                    <w:t xml:space="preserve">URBROJ:2198/1-88-20-10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30.6.2021.</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60.000,00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15.000,00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75.000,00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Da</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08.09.2021</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75.000,00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Financirano kroz projekt POSBEMED2</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08.01.2021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26.01.2022</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2/2020</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analize sedimenta na lokalitetu Veliko i Malo blato</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71351100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HRVATSKI GEOLOŠKI INSTITUT 43733878539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14.12.2020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KLASA:403-06/18-01/106</w:t>
                  </w:r>
                  <w:r>
                    <w:rPr>
                      <w:rFonts w:ascii="Arial" w:hAnsi="Arial" w:eastAsia="Arial"/>
                      <w:color w:val="000000"/>
                      <w:sz w:val="14"/>
                    </w:rPr>
                    <w:br/>
                    <w:t xml:space="preserve">URBRO:2198/1-88-18-31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3.5.2021.</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157.050,00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39.262,50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196.312,50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09.07.2021</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196.312,50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Dio istraživanja financiran iz projekta CREW</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08.01.2021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15.07.2021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3/2020</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istraživanja</w:t>
                  </w:r>
                  <w:r>
                    <w:rPr>
                      <w:rFonts w:ascii="Arial" w:hAnsi="Arial" w:eastAsia="Arial"/>
                      <w:color w:val="000000"/>
                      <w:sz w:val="14"/>
                    </w:rPr>
                    <w:br/>
                    <w:t xml:space="preserve">ihtiofaune na lokalitetu</w:t>
                  </w:r>
                  <w:r>
                    <w:rPr>
                      <w:rFonts w:ascii="Arial" w:hAnsi="Arial" w:eastAsia="Arial"/>
                      <w:color w:val="000000"/>
                      <w:sz w:val="14"/>
                    </w:rPr>
                    <w:br/>
                    <w:t xml:space="preserve">Veliko i Malo blato</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73110000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BIOTA d.o.o. 00559208747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18.06.2020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KLASA:403-06/18-01/106</w:t>
                  </w:r>
                  <w:r>
                    <w:rPr>
                      <w:rFonts w:ascii="Arial" w:hAnsi="Arial" w:eastAsia="Arial"/>
                      <w:color w:val="000000"/>
                      <w:sz w:val="14"/>
                    </w:rPr>
                    <w:br/>
                    <w:t xml:space="preserve">URBROJ:2198/1-88-18-19</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30.11.2020.</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44.972,50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44.972,50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Da</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13.11.2020</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44.972,50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Istraživanje financirano kroz projekt CREW</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08.01.2021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15.07.2021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11/2020</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istraživanja</w:t>
                  </w:r>
                  <w:r>
                    <w:rPr>
                      <w:rFonts w:ascii="Arial" w:hAnsi="Arial" w:eastAsia="Arial"/>
                      <w:color w:val="000000"/>
                      <w:sz w:val="14"/>
                    </w:rPr>
                    <w:br/>
                    <w:t xml:space="preserve">prisutnosti autohtone</w:t>
                  </w:r>
                  <w:r>
                    <w:rPr>
                      <w:rFonts w:ascii="Arial" w:hAnsi="Arial" w:eastAsia="Arial"/>
                      <w:color w:val="000000"/>
                      <w:sz w:val="14"/>
                    </w:rPr>
                    <w:br/>
                    <w:t xml:space="preserve">vrste slatkovodne ribe</w:t>
                  </w:r>
                  <w:r>
                    <w:rPr>
                      <w:rFonts w:ascii="Arial" w:hAnsi="Arial" w:eastAsia="Arial"/>
                      <w:color w:val="000000"/>
                      <w:sz w:val="14"/>
                    </w:rPr>
                    <w:br/>
                    <w:t xml:space="preserve">Masnice (Leucos aula)</w:t>
                  </w:r>
                  <w:r>
                    <w:rPr>
                      <w:rFonts w:ascii="Arial" w:hAnsi="Arial" w:eastAsia="Arial"/>
                      <w:color w:val="000000"/>
                      <w:sz w:val="14"/>
                    </w:rPr>
                    <w:br/>
                    <w:t xml:space="preserve">na području Velog blata</w:t>
                  </w:r>
                  <w:r>
                    <w:rPr>
                      <w:rFonts w:ascii="Arial" w:hAnsi="Arial" w:eastAsia="Arial"/>
                      <w:color w:val="000000"/>
                      <w:sz w:val="14"/>
                    </w:rPr>
                    <w:br/>
                    <w:t xml:space="preserve">na otoku Pagu</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73110000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BIOTA d.o.o. 00559208747</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08.01.2021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KLASA:403-06/18-01/106</w:t>
                  </w:r>
                  <w:r>
                    <w:rPr>
                      <w:rFonts w:ascii="Arial" w:hAnsi="Arial" w:eastAsia="Arial"/>
                      <w:color w:val="000000"/>
                      <w:sz w:val="14"/>
                    </w:rPr>
                    <w:br/>
                    <w:t xml:space="preserve">URBROJ:2198/1-88-18-33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30.6.2021.</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46.387,50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46.387,50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Da</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t xml:space="preserve">Ugovor je poništen, isporučevine nisu dostavljene na vrijeme.</w:t>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Istraživanje financirano iz projekta CREW</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27.01.2021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15.07.2021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10/2020</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informatičke</w:t>
                  </w:r>
                  <w:r>
                    <w:rPr>
                      <w:rFonts w:ascii="Arial" w:hAnsi="Arial" w:eastAsia="Arial"/>
                      <w:color w:val="000000"/>
                      <w:sz w:val="14"/>
                    </w:rPr>
                    <w:br/>
                    <w:t xml:space="preserve">opreme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30230000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GDi d.o.o. 95032181708</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14.12.2020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Narudžbenica 55/20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30.12.2020.</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33.880,81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8.470,16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42.350,81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Da</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18.12.2020</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42.350,81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Financirano iz projekta DINALPCONNECT</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08.01.2021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15.01.2021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1/2021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izrade i</w:t>
                  </w:r>
                  <w:r>
                    <w:rPr>
                      <w:rFonts w:ascii="Arial" w:hAnsi="Arial" w:eastAsia="Arial"/>
                      <w:color w:val="000000"/>
                      <w:sz w:val="14"/>
                    </w:rPr>
                    <w:br/>
                    <w:t xml:space="preserve">provedbe programa</w:t>
                  </w:r>
                  <w:r>
                    <w:rPr>
                      <w:rFonts w:ascii="Arial" w:hAnsi="Arial" w:eastAsia="Arial"/>
                      <w:color w:val="000000"/>
                      <w:sz w:val="14"/>
                    </w:rPr>
                    <w:br/>
                    <w:t xml:space="preserve">Škola u prirodi i Mala</w:t>
                  </w:r>
                  <w:r>
                    <w:rPr>
                      <w:rFonts w:ascii="Arial" w:hAnsi="Arial" w:eastAsia="Arial"/>
                      <w:color w:val="000000"/>
                      <w:sz w:val="14"/>
                    </w:rPr>
                    <w:br/>
                    <w:t xml:space="preserve">škola krša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80310000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PLANINARSKO DRUŠTVO PAKLENICA 92966614510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22.02.2021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KLASA:003-03/18-01/26</w:t>
                  </w:r>
                  <w:r>
                    <w:rPr>
                      <w:rFonts w:ascii="Arial" w:hAnsi="Arial" w:eastAsia="Arial"/>
                      <w:color w:val="000000"/>
                      <w:sz w:val="14"/>
                    </w:rPr>
                    <w:br/>
                    <w:t xml:space="preserve">URBROJ:2198/1-88-21-23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31.12.2021.</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77.000,00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77.000,00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Da</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29.12.2021</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77.000,00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15.07.2021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26.01.2022</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4/2021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izrade akcijskog plana upravljanja obalama s naplavinama posidonije u SZ dijelu Dugog otoka s naglaskom na plažu Sakarun</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90712400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Zajednica ponuditelja: DVOKUT-ECRO d.o.o. i Društvo istraživača mora 20000 milja 29880496238</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15.04.2021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KLASA:403-06/19-01/63 </w:t>
                  </w:r>
                  <w:r>
                    <w:rPr>
                      <w:rFonts w:ascii="Arial" w:hAnsi="Arial" w:eastAsia="Arial"/>
                      <w:color w:val="000000"/>
                      <w:sz w:val="14"/>
                    </w:rPr>
                    <w:br/>
                    <w:t xml:space="preserve">URBROJ:2198/1-88-21-24</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31.8.2021.</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76.000,00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19.000,00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95.000,00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Da</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21.10.2021</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94.999,98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Financirano iz projekta POSBEMED2</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15.07.2021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26.01.2022</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6/2021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izrade kratkog</w:t>
                  </w:r>
                  <w:r>
                    <w:rPr>
                      <w:rFonts w:ascii="Arial" w:hAnsi="Arial" w:eastAsia="Arial"/>
                      <w:color w:val="000000"/>
                      <w:sz w:val="14"/>
                    </w:rPr>
                    <w:br/>
                    <w:t xml:space="preserve">promotivnog filma o</w:t>
                  </w:r>
                  <w:r>
                    <w:rPr>
                      <w:rFonts w:ascii="Arial" w:hAnsi="Arial" w:eastAsia="Arial"/>
                      <w:color w:val="000000"/>
                      <w:sz w:val="14"/>
                    </w:rPr>
                    <w:br/>
                    <w:t xml:space="preserve">ulozi posidonije,</w:t>
                  </w:r>
                  <w:r>
                    <w:rPr>
                      <w:rFonts w:ascii="Arial" w:hAnsi="Arial" w:eastAsia="Arial"/>
                      <w:color w:val="000000"/>
                      <w:sz w:val="14"/>
                    </w:rPr>
                    <w:br/>
                    <w:t xml:space="preserve">naplavina posidonije i</w:t>
                  </w:r>
                  <w:r>
                    <w:rPr>
                      <w:rFonts w:ascii="Arial" w:hAnsi="Arial" w:eastAsia="Arial"/>
                      <w:color w:val="000000"/>
                      <w:sz w:val="14"/>
                    </w:rPr>
                    <w:br/>
                    <w:t xml:space="preserve">obalnom staništu</w:t>
                  </w:r>
                  <w:r>
                    <w:rPr>
                      <w:rFonts w:ascii="Arial" w:hAnsi="Arial" w:eastAsia="Arial"/>
                      <w:color w:val="000000"/>
                      <w:sz w:val="14"/>
                    </w:rPr>
                    <w:br/>
                    <w:t xml:space="preserve">(Sakarun)</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92111000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UNIQUE MEDIA obrt za proizvodnju i distribuciju videofilmova i promidžbu 83426160286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05.03.2021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KLASA:403-06/19-01/63</w:t>
                  </w:r>
                  <w:r>
                    <w:rPr>
                      <w:rFonts w:ascii="Arial" w:hAnsi="Arial" w:eastAsia="Arial"/>
                      <w:color w:val="000000"/>
                      <w:sz w:val="14"/>
                    </w:rPr>
                    <w:br/>
                    <w:t xml:space="preserve">URBROJ:2198/1-88-21-16</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31.5.2021.</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31.000,00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31.000,00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Da</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31.05.2021</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31.000,00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Financirano iz projekta POSBEMED2</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15.07.2021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15.07.2021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7/2021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izrade kratkog</w:t>
                  </w:r>
                  <w:r>
                    <w:rPr>
                      <w:rFonts w:ascii="Arial" w:hAnsi="Arial" w:eastAsia="Arial"/>
                      <w:color w:val="000000"/>
                      <w:sz w:val="14"/>
                    </w:rPr>
                    <w:br/>
                    <w:t xml:space="preserve">promotivnog filma u</w:t>
                  </w:r>
                  <w:r>
                    <w:rPr>
                      <w:rFonts w:ascii="Arial" w:hAnsi="Arial" w:eastAsia="Arial"/>
                      <w:color w:val="000000"/>
                      <w:sz w:val="14"/>
                    </w:rPr>
                    <w:br/>
                    <w:t xml:space="preserve">svrhu promocije</w:t>
                  </w:r>
                  <w:r>
                    <w:rPr>
                      <w:rFonts w:ascii="Arial" w:hAnsi="Arial" w:eastAsia="Arial"/>
                      <w:color w:val="000000"/>
                      <w:sz w:val="14"/>
                    </w:rPr>
                    <w:br/>
                    <w:t xml:space="preserve">ekološke povezanosti u</w:t>
                  </w:r>
                  <w:r>
                    <w:rPr>
                      <w:rFonts w:ascii="Arial" w:hAnsi="Arial" w:eastAsia="Arial"/>
                      <w:color w:val="000000"/>
                      <w:sz w:val="14"/>
                    </w:rPr>
                    <w:br/>
                    <w:t xml:space="preserve">pilot regiji</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92111000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OBLO, obrt za produkciju i usluge 73879975858</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01.07.2021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KLASA:403-06/19-01/110</w:t>
                  </w:r>
                  <w:r>
                    <w:rPr>
                      <w:rFonts w:ascii="Arial" w:hAnsi="Arial" w:eastAsia="Arial"/>
                      <w:color w:val="000000"/>
                      <w:sz w:val="14"/>
                    </w:rPr>
                    <w:br/>
                    <w:t xml:space="preserve">URBROJ:2198/1-88-21-12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31.5.2022.</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24.900,00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24.900,00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Da</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30.06.2022</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24.900,00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Financirano iz projekta DINALPCONNECT</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15.07.2021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10.01.2023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8/2021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Uređenje poučne staze</w:t>
                  </w:r>
                  <w:r>
                    <w:rPr>
                      <w:rFonts w:ascii="Arial" w:hAnsi="Arial" w:eastAsia="Arial"/>
                      <w:color w:val="000000"/>
                      <w:sz w:val="14"/>
                    </w:rPr>
                    <w:br/>
                    <w:t xml:space="preserve">i platoa "Dubrava-</w:t>
                  </w:r>
                  <w:r>
                    <w:rPr>
                      <w:rFonts w:ascii="Arial" w:hAnsi="Arial" w:eastAsia="Arial"/>
                      <w:color w:val="000000"/>
                      <w:sz w:val="14"/>
                    </w:rPr>
                    <w:br/>
                    <w:t xml:space="preserve">Hanzine" na otoku Pagu</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45112700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Sladovača d.o.o. 55737362374</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24.03.2021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KLASA:030-06/21-01/2</w:t>
                  </w:r>
                  <w:r>
                    <w:rPr>
                      <w:rFonts w:ascii="Arial" w:hAnsi="Arial" w:eastAsia="Arial"/>
                      <w:color w:val="000000"/>
                      <w:sz w:val="14"/>
                    </w:rPr>
                    <w:br/>
                    <w:t xml:space="preserve">URBROJ:2198/1-88-21-7</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30.6.2021.</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389.000,00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97.250,00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486.250,00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Da</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30.06.2021</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486.250,00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Financirano iz projekta Uređenje</w:t>
                  </w:r>
                  <w:r>
                    <w:rPr>
                      <w:rFonts w:ascii="Arial" w:hAnsi="Arial" w:eastAsia="Arial"/>
                      <w:color w:val="000000"/>
                      <w:sz w:val="14"/>
                    </w:rPr>
                    <w:br/>
                    <w:t xml:space="preserve">poučne staze u posebnom rezervatu</w:t>
                  </w:r>
                  <w:r>
                    <w:rPr>
                      <w:rFonts w:ascii="Arial" w:hAnsi="Arial" w:eastAsia="Arial"/>
                      <w:color w:val="000000"/>
                      <w:sz w:val="14"/>
                    </w:rPr>
                    <w:br/>
                    <w:t xml:space="preserve">šumske vegetacije „Dubrava-Hanzina"</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15.07.2021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15.07.2021</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9/2021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Istraživanje šišmiša u</w:t>
                  </w:r>
                  <w:r>
                    <w:rPr>
                      <w:rFonts w:ascii="Arial" w:hAnsi="Arial" w:eastAsia="Arial"/>
                      <w:color w:val="000000"/>
                      <w:sz w:val="14"/>
                    </w:rPr>
                    <w:br/>
                    <w:t xml:space="preserve">tunelu Bokanjac na</w:t>
                  </w:r>
                  <w:r>
                    <w:rPr>
                      <w:rFonts w:ascii="Arial" w:hAnsi="Arial" w:eastAsia="Arial"/>
                      <w:color w:val="000000"/>
                      <w:sz w:val="14"/>
                    </w:rPr>
                    <w:br/>
                    <w:t xml:space="preserve">području Bokanjačkog</w:t>
                  </w:r>
                  <w:r>
                    <w:rPr>
                      <w:rFonts w:ascii="Arial" w:hAnsi="Arial" w:eastAsia="Arial"/>
                      <w:color w:val="000000"/>
                      <w:sz w:val="14"/>
                    </w:rPr>
                    <w:br/>
                    <w:t xml:space="preserve">blata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73110000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HUDEC PLAN 85323749202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29.03.2021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612-07/21-01/18</w:t>
                  </w:r>
                  <w:r>
                    <w:rPr>
                      <w:rFonts w:ascii="Arial" w:hAnsi="Arial" w:eastAsia="Arial"/>
                      <w:color w:val="000000"/>
                      <w:sz w:val="14"/>
                    </w:rPr>
                    <w:br/>
                    <w:t xml:space="preserve">URBROJ: 2198/1-88-21-7</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1.12.2021.</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22.000,00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5.500,00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27.500,00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29.12.2021</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27.500,00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15.07.2021</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10.01.2023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5/2021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Usluga izrade Akcijskog plana za unaprjeđenje ekološke povezanosti u pilot regiji Natura 2000 Lisac – NP Una, općina Drvar u sklopu projekta DINALPCONNECT</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90712400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VITA PROJEKT d.o.o 99339634780</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23.12.2021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KLASA:403-06/19-01/110, URBROJ: 2198/1-88-21-20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30.4.2022.</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104.000,00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26.000,00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130.000,00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Da</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10.06.2022</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130.000,00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26.01.2022</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10.01.2023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5/2022</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Nabava promotivnog materijala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39294100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studio bar d.o.o. 92615269099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18.07.2022</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 402-09/22-01/36</w:t>
                  </w:r>
                  <w:r>
                    <w:rPr>
                      <w:rFonts w:ascii="Arial" w:hAnsi="Arial" w:eastAsia="Arial"/>
                      <w:color w:val="000000"/>
                      <w:sz w:val="14"/>
                    </w:rPr>
                    <w:br/>
                    <w:t xml:space="preserve">URBROJ: 2198/1-88-22-3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8.8.2022.</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23.847,00 HRK</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5.961,75 HRK</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29.808,75 HRK</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08.08.2022</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29.808,75 HRK</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15.09.2022</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15.09.2022</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VN-1-19</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Zajednički postupak nabave motornog benzina i dizel goriva za potrebe Zadarske županije i pojedinih korisnika: Zajednički postupak nabave motornog benzina i dizel goriva za potrebe Zadarske županije i pojedinih korisnika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09130000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0F3-0000032</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INA - Industrija nafte d.d. 27759560625</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26.08.2019</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1/4-2019</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16.7.2020.</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11.551,50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2.887,88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14.439,38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11.09.2020</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2.770,78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Sustav je automatski valutu HRK pretvorio u EUR, tako da je ispravno:</w:t>
                  </w:r>
                  <w:r>
                    <w:rPr>
                      <w:rFonts w:ascii="Arial" w:hAnsi="Arial" w:eastAsia="Arial"/>
                      <w:color w:val="000000"/>
                      <w:sz w:val="14"/>
                    </w:rPr>
                    <w:br/>
                    <w:t xml:space="preserve">Iznos bez PDV-a 11.551,50 HRK, iznos PDV-a: 2.887,88 HRK, ukupni iznos s PDV-om 14.439,38 HRK.</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03.01.2023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06.02.2023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VN-3-18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Zajednički postupak   nabave usluge   osiguranja imovine i   osoba za potrebe   Zadarske županije i pojedinih korisnika: Grupa 4 - ostale županijske ustanove – uprava, kultura, agencije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66510000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0F3-0000035</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ADRIATIC OSIGURANJE d.d. 94472454976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31.05.2019</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1/3-2019</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24.4.2020.</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4.353,78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4.353,78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22.04.2020</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947,82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Sustav je automatski valutu HRK pretvorio u EUR, tako da je ispravno:</w:t>
                  </w:r>
                  <w:r>
                    <w:rPr>
                      <w:rFonts w:ascii="Arial" w:hAnsi="Arial" w:eastAsia="Arial"/>
                      <w:color w:val="000000"/>
                      <w:sz w:val="14"/>
                    </w:rPr>
                    <w:br/>
                    <w:t xml:space="preserve">Iznos bez PDV-a 4.353,78 HRK, iznos PDV-a: 0,00 HRK, ukupni iznos s PDV-om 4.353,78 HRK.</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03.01.2023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06.02.2023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VN-3-18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Zajednički postupak   nabave usluge   osiguranja imovine i   osoba za potrebe   Zadarske županije i pojedinih korisnika: Grupa 4 - ostale županijske ustanove – uprava, kultura, agencije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66510000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0F3-0000195</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ADRIATIC OSIGURANJE d.d. 94472454976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05.05.2020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2/3-2020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24.4.2021.</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6.865,35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6.865,35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25.03.2021</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1.562,12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Sustav je automatski valutu HRK pretvorio u EUR, tako da je ispravno:</w:t>
                  </w:r>
                  <w:r>
                    <w:rPr>
                      <w:rFonts w:ascii="Arial" w:hAnsi="Arial" w:eastAsia="Arial"/>
                      <w:color w:val="000000"/>
                      <w:sz w:val="14"/>
                    </w:rPr>
                    <w:br/>
                    <w:t xml:space="preserve">Iznos bez PDV-a 6.865,35 HRK, iznos PDV-a: 0,00 HRK, ukupni iznos s PDV-om 6.865,35  HRK.</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04.01.2023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06.02.2023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VN-1-19</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Zajednički postupak nabave motornog benzina i dizel goriva za potrebe Zadarske županije i pojedinih korisnika: Zajednički postupak nabave motornog benzina i dizel goriva za potrebe Zadarske županije i pojedinih korisnika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09130000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0F3-0000203</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INA - Industrija nafte d.d. 27759560625</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11.08.2020</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2/4-2020</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16.7.2021.</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11.551,50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2.887,88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14.439,38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26.08.2021</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4.038,66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Sustav je automatski valutu HRK pretvorio u EUR, tako da je ispravno:</w:t>
                  </w:r>
                  <w:r>
                    <w:rPr>
                      <w:rFonts w:ascii="Arial" w:hAnsi="Arial" w:eastAsia="Arial"/>
                      <w:color w:val="000000"/>
                      <w:sz w:val="14"/>
                    </w:rPr>
                    <w:br/>
                    <w:t xml:space="preserve">Iznos bez PDV-a 11.551,50 HRK, iznos PDV-a: 2.887,88 HRK, ukupni iznos s PDV-om 14.439,38 HRK.</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04.01.2023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06.02.2023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VN-3-21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Nabava usluge osiguranja imovine i osoba za potrebe Zadarske županije i pojedinačnih korisnika: Zadarska županija i ostali korisnici</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66510000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0F3-0000208</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WIENER OSIGURANJE VIENNA INSURANCE GROUP D.D. 52848403362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01.06.2022</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1/3-2022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7.155,60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7.155,60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17.04.2023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949,43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Sustav je automatski valutu HRK pretvorio u EUR tako da je ispravan ugovoreni iznos upisan u valuti HRK.</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04.01.2023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19.12.2023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VN-2-20</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Zajednički postupak nabave za javne govorne usluge u nepokretnoj mreži i usluge stalnog   pristupa internetu za potrebe Zadarske županije i pojedinačnih korisnika: Zadarska županija i ostale ustanove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64210000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0F3-0000338</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OT-Optima Telekom d.o.o. 36004425025</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03.04.2022</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1/4-2022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 mjeseci</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3.984,00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996,00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4.980,00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09.05.2023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620,15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Sustav je automatski valutu HRK pretvorio u EUR, tako da je ispravno:</w:t>
                  </w:r>
                  <w:r>
                    <w:rPr>
                      <w:rFonts w:ascii="Arial" w:hAnsi="Arial" w:eastAsia="Arial"/>
                      <w:color w:val="000000"/>
                      <w:sz w:val="14"/>
                    </w:rPr>
                    <w:br/>
                    <w:t xml:space="preserve">Iznos bez PDV-a 3.984,00 HRK, iznos PDV-a: 996,00 HRK, ukupni iznos s PDV-om 4.980,00HRK.</w:t>
                  </w:r>
                  <w:r>
                    <w:rPr>
                      <w:rFonts w:ascii="Arial" w:hAnsi="Arial" w:eastAsia="Arial"/>
                      <w:color w:val="000000"/>
                      <w:sz w:val="14"/>
                    </w:rPr>
                    <w:br/>
                    <w:t xml:space="preserve">Od 11/2022 isporučitelj usluge je Telemach Hrvatska d.o.o. s obzirom da je 2.11.2022. OT-Optima Telekom d.o.o.</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05.01.2023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07.03.2024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VN-3-18</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Zajednički postupak   nabave usluge   osiguranja imovine i   osoba za potrebe   Zadarske županije i pojedinih korisnika: Grupa 4 - ostale županijske ustanove – uprava, kultura, agencije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66510000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0F3-0000341</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ADRIATIC OSIGURANJE d.d. 94472454976</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10.05.2021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3/3-2021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24.4.2022.</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11.769,83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11.769,83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23.06.2022</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1.588,12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Sustav je automatski valutu HRK pretvorio u EUR, tako da je ispravno:</w:t>
                  </w:r>
                  <w:r>
                    <w:rPr>
                      <w:rFonts w:ascii="Arial" w:hAnsi="Arial" w:eastAsia="Arial"/>
                      <w:color w:val="000000"/>
                      <w:sz w:val="14"/>
                    </w:rPr>
                    <w:br/>
                    <w:t xml:space="preserve">Iznos bez PDV-a 11.769,83 HRK, iznos PDV-a: 0,00 HRK, ukupni iznos s PDV-om  11.769,83 HRK.</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05.01.2023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06.02.2023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VN-1-19</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Zajednički postupak nabave motornog benzina i dizel goriva za potrebe Zadarske županije i pojedinih korisnika: Zajednički postupak nabave motornog benzina i dizel goriva za potrebe Zadarske županije i pojedinih korisnika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09130000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0F3-0000343</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INA - Industrija nafte d.d. 27759560625</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20.05.2021</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3/4-2021</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18.7.2022.</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11.551,50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2.887,88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14.439,38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25.08.2022</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5.891,92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Sustav je automatski valutu HRK pretvorio u EUR, tako da je ispravno:</w:t>
                  </w:r>
                  <w:r>
                    <w:rPr>
                      <w:rFonts w:ascii="Arial" w:hAnsi="Arial" w:eastAsia="Arial"/>
                      <w:color w:val="000000"/>
                      <w:sz w:val="14"/>
                    </w:rPr>
                    <w:br/>
                    <w:t xml:space="preserve">Iznos bez PDV-a 11.551,50 HRK, iznos PDV-a: 2.887,88 HRK, ukupni iznos s PDV-om  14.439,38 HRK.</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05.01.2023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06.02.2023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VN-1-19</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Zajednički postupak nabave motornog benzina i dizel goriva za potrebe Zadarske županije i pojedinih korisnika: Zajednički postupak nabave motornog benzina i dizel goriva za potrebe Zadarske županije i pojedinih korisnika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09130000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0F3-0000483</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INA - Industrija nafte d.d. 27759560625</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07.07.2022</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4/4-2022</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16.7.2023.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31.945,20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7.986,30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39.931,50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09.10.2023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10.628,76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Sustav je automatski valutu HRK pretvorio u EUR, tako da je ispravno:</w:t>
                  </w:r>
                  <w:r>
                    <w:rPr>
                      <w:rFonts w:ascii="Arial" w:hAnsi="Arial" w:eastAsia="Arial"/>
                      <w:color w:val="000000"/>
                      <w:sz w:val="14"/>
                    </w:rPr>
                    <w:br/>
                    <w:t xml:space="preserve">Iznos bez PDV-a 31.945,20 HRK, iznos PDV-a: 7.986,30 HRK, ukupni iznos s PDV-om 39.931,50 HRK.</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09.01.2023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27.12.2023</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VN-3-21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Nabava usluge osiguranja imovine i osoba za potrebe Zadarske županije i pojedinačnih korisnika: Zadarska županija i ostali korisnici</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66510000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2023/S 0F3-0029814</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WIENER OSIGURANJE VIENNA INSURANCE GROUP D.D. 52848403362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26.06.2023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2/3-2023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1.6.2024.</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943,89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943,89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10.04.2024</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944,62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14.07.2023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11.09.2024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1/2023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Istraživanje utjecaja crpljenja vode kroz određivanje širine gornjeg toka i površina mikrostaništa s mahovinom te njihovu izloženost presušivanju tijekom ljetnih mjeseci s minimalnim vodostajima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73110000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Jednostavna nabava</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HRVATSKI GEOLOŠKI INSTITUT 43733878539</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14.07.2023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KLASA:406-03/23-01/38</w:t>
                  </w:r>
                  <w:r>
                    <w:rPr>
                      <w:rFonts w:ascii="Arial" w:hAnsi="Arial" w:eastAsia="Arial"/>
                      <w:color w:val="000000"/>
                      <w:sz w:val="14"/>
                    </w:rPr>
                    <w:br/>
                    <w:t xml:space="preserve">URBROJ:2198-1-88-23-5</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1.12.2023.</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5.200,00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1.300,00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6.500,00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22.12.2023</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6.500,00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20.10.2023</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28.03.2024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VN-2-20</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Zajednički postupak nabave za javne govorne usluge u nepokretnoj mreži i usluge stalnog   pristupa internetu za potrebe Zadarske županije i pojedinačnih korisnika: Zadarska županija i ostale ustanove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64210000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2024/S 0F3-0009766</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OT-Optima Telekom d.o.o. 36004425025</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04.04.2023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2/4-2023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 mjeseci</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528,77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132,19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660,96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09.05.2024</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664,85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Od 11/2022 isporučitelj usluge je Telemach Hrvatska d.o.o. s obzirom da je 2.11.2022. pripojio društvo OT-Optima Telekom d.o.o.</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27.03.2024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11.09.2024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VN-2-23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Nabava motornog benzina i dizel goriva za potrebe Zadarske županije i pojedinačnih korisnika: Nabava motornog benzina i dizel goriva za potrebe Zadarske županije i pojedinačnih korisnika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09100000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2024/S 0F3-0009775</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INA - Industrija nafte d.d. 27759560625</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16.10.2023</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1/4-2023</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 mjeseci</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7.311,92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1.827,98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9.139,90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15.10.2024</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6.989,80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27.03.2024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30.10.2024</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VN-3-21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Nabava usluge osiguranja imovine i osoba za potrebe Zadarske županije i pojedinačnih korisnika: Zadarska županija i ostali korisnici</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66510000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2024/S 0F3-0016200</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WIENER OSIGURANJE VIENNA INSURANCE GROUP D.D. 52848403362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31.05.2024</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3/3-2024</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1.6.2025.</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945,00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945,00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09.04.2025</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1.145,34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26.07.2024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25.07.2025</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VN-2-23</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Nabava motornog benzina i dizel goriva za potrebe Zadarske županije i pojedinačnih korisnika: Nabava motornog benzina i dizel goriva za potrebe Zadarske županije i pojedinačnih korisnika</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09100000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2024/S 0F3-0019865</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INA - Industrija nafte d.d. 27759560625</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16.10.2024</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2/4-2024</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 mjeseci</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6.666,00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1.666,50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8.332,50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29.10.2025</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5.620,95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30.10.2024</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31.12.2025</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VN-2-20</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Zajednički postupak nabave za javne govorne usluge u nepokretnoj mreži i usluge stalnog   pristupa internetu za potrebe Zadarske županije i pojedinačnih korisnika: Zadarska županija i ostale ustanove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64210000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2025/S 0F3-0000534</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OT-Optima Telekom d.o.o. 36004425025</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01.05.2024</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3/4-2024</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 mjeseci</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528,77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132,19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660,96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12.05.2025</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667,60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17.01.2025</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25.07.2025</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VN-2-20</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Zajednički postupak nabave za javne govorne usluge u nepokretnoj mreži i usluge stalnog   pristupa internetu za potrebe Zadarske županije i pojedinačnih korisnika: Zadarska županija i ostale ustanove</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64210000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2025/S 0F3-0004957</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OT-Optima Telekom d.o.o. 36004425025</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01.05.2025</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4/4-2025</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12 mjeseci</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528,77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132,19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660,96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14.05.2026</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664,28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Od 11/2022. isporučitelj usluge je Telemach Hrvatska d.o.o. s obzirom da je 2.11.2022.pripojio društvo OT-Optima Telekom d.o.o.</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24.07.2025</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21.07.2026</w:t>
                  </w:r>
                </w:p>
              </w:tc>
            </w:tr>
            <w:tr>
              <w:trPr>
                <w:trHeight w:val="262" w:hRule="atLeast"/>
              </w:trPr>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VN-3-21</w:t>
                  </w:r>
                </w:p>
              </w:tc>
              <w:tc>
                <w:tcPr>
                  <w:tcW w:w="18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Tromjesečna evidencija ugovora: Nabava usluge osiguranja imovine i osoba za potrebe Zadarske županije i pojedinačnih korisnika: Zadarska županija i ostali korisnici</w:t>
                  </w:r>
                </w:p>
              </w:tc>
              <w:tc>
                <w:tcPr>
                  <w:tcW w:w="86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66510000</w:t>
                  </w:r>
                </w:p>
              </w:tc>
              <w:tc>
                <w:tcPr>
                  <w:tcW w:w="141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2025/S 0F3-0005006</w:t>
                  </w:r>
                </w:p>
              </w:tc>
              <w:tc>
                <w:tcPr>
                  <w:tcW w:w="11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Otvoreni postupak </w:t>
                  </w:r>
                </w:p>
              </w:tc>
              <w:tc>
                <w:tcPr>
                  <w:tcW w:w="125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WIENER OSIGURANJE VIENNA INSURANCE GROUP D.D. 52848403362</w:t>
                  </w:r>
                </w:p>
              </w:tc>
              <w:tc>
                <w:tcPr>
                  <w:tcW w:w="11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9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16.05.2025</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3/3-d1-2025</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31.8.2025.</w:t>
                  </w:r>
                </w:p>
              </w:tc>
              <w:tc>
                <w:tcPr>
                  <w:tcW w:w="93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406,66 EUR</w:t>
                  </w:r>
                </w:p>
              </w:tc>
              <w:tc>
                <w:tcPr>
                  <w:tcW w:w="1096"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0,00 EUR</w:t>
                  </w:r>
                </w:p>
              </w:tc>
              <w:tc>
                <w:tcPr>
                  <w:tcW w:w="101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406,66 EUR</w:t>
                  </w:r>
                </w:p>
              </w:tc>
              <w:tc>
                <w:tcPr>
                  <w:tcW w:w="124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Ne</w:t>
                  </w:r>
                </w:p>
              </w:tc>
              <w:tc>
                <w:tcPr>
                  <w:tcW w:w="990"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right"/>
                  </w:pPr>
                  <w:r>
                    <w:rPr>
                      <w:rFonts w:ascii="Arial" w:hAnsi="Arial" w:eastAsia="Arial"/>
                      <w:color w:val="000000"/>
                      <w:sz w:val="14"/>
                    </w:rPr>
                    <w:t xml:space="preserve">03.07.2025</w:t>
                  </w:r>
                </w:p>
              </w:tc>
              <w:tc>
                <w:tcPr>
                  <w:tcW w:w="108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t xml:space="preserve">406,75 EUR</w:t>
                  </w:r>
                </w:p>
              </w:tc>
              <w:tc>
                <w:tcPr>
                  <w:tcW w:w="1867"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4"/>
                    </w:rPr>
                  </w:r>
                  <w:r>
                    <w:rPr>
                      <w:rFonts w:ascii="Arial" w:hAnsi="Arial" w:eastAsia="Arial"/>
                      <w:color w:val="000000"/>
                      <w:sz w:val="14"/>
                    </w:rPr>
                    <w:br/>
                  </w:r>
                </w:p>
              </w:tc>
              <w:tc>
                <w:tcPr>
                  <w:tcW w:w="200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25.07.2025</w:t>
                  </w:r>
                </w:p>
              </w:tc>
              <w:tc>
                <w:tcPr>
                  <w:tcW w:w="892"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14"/>
                    </w:rPr>
                    <w:t xml:space="preserve">31.12.2025</w:t>
                  </w:r>
                </w:p>
              </w:tc>
            </w:tr>
          </w:tbl>
          <w:p>
            <w:pPr>
              <w:spacing w:after="0" w:line="240" w:lineRule="auto"/>
            </w:pPr>
          </w:p>
        </w:tc>
        <w:tc>
          <w:tcPr>
            <w:tcW w:w="3386" w:type="dxa"/>
            <w:hMerge w:val="continue"/>
          </w:tcPr>
          <w:p>
            <w:pPr>
              <w:pStyle w:val="EmptyCellLayoutStyle"/>
              <w:spacing w:after="0" w:line="240" w:lineRule="auto"/>
            </w:pPr>
          </w:p>
        </w:tc>
        <w:tc>
          <w:tcPr>
            <w:tcW w:w="524" w:type="dxa"/>
          </w:tcPr>
          <w:p>
            <w:pPr>
              <w:pStyle w:val="EmptyCellLayoutStyle"/>
              <w:spacing w:after="0" w:line="240" w:lineRule="auto"/>
            </w:pPr>
          </w:p>
        </w:tc>
      </w:tr>
      <w:tr>
        <w:trPr>
          <w:trHeight w:val="10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4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262" w:hRule="atLeast"/>
              </w:trPr>
              <w:tc>
                <w:tcPr>
                  <w:tcW w:w="21044" w:type="dxa"/>
                  <w:tcBorders>
                    <w:top w:val="nil" w:color="000000" w:sz="7"/>
                    <w:left w:val="nil" w:color="000000" w:sz="7"/>
                    <w:bottom w:val="nil" w:color="000000" w:sz="7"/>
                    <w:right w:val="nil" w:color="000000" w:sz="7"/>
                  </w:tcBorders>
                  <w:shd w:val="clear" w:fill="DCDCDC"/>
                  <w:tcMar>
                    <w:top w:w="39" w:type="dxa"/>
                    <w:left w:w="39" w:type="dxa"/>
                    <w:bottom w:w="39" w:type="dxa"/>
                    <w:right w:w="39" w:type="dxa"/>
                  </w:tcMar>
                  <w:vAlign w:val="center"/>
                </w:tcPr>
                <w:p>
                  <w:pPr>
                    <w:spacing w:after="0" w:line="240" w:lineRule="auto"/>
                    <w:jc w:val="left"/>
                  </w:pPr>
                  <w:r>
                    <w:rPr>
                      <w:rFonts w:ascii="Arial" w:hAnsi="Arial" w:eastAsia="Arial"/>
                      <w:color w:val="000000"/>
                      <w:sz w:val="16"/>
                    </w:rPr>
                    <w:t xml:space="preserve">*Ažuriranje ugovora u tijeku.</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3820"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hMerge w:val="restart"/>
          </w:tcPr>
          <w:tbl>
            <w:tblPr>
              <w:tblCellMar>
                <w:top w:w="0" w:type="dxa"/>
                <w:left w:w="0" w:type="dxa"/>
                <w:bottom w:w="0" w:type="dxa"/>
                <w:right w:w="0" w:type="dxa"/>
              </w:tblCellMar>
            </w:tblPr>
            <w:tblGrid>
              <w:gridCol w:w="21044"/>
            </w:tblGrid>
            <w:tr>
              <w:trPr>
                <w:trHeight w:val="374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Puno značenje  stupaca sukladno Pravilniku o planu nabave, registru ugovora, prethodnom savjetovanju i analizi tržišta u javnoj nabavi (NN 101/2017):</w:t>
                  </w:r>
                </w:p>
                <w:p>
                  <w:pPr>
                    <w:spacing w:after="0" w:line="240" w:lineRule="auto"/>
                    <w:ind w:left="99"/>
                    <w:jc w:val="left"/>
                  </w:pPr>
                  <w:r>
                    <w:rPr>
                      <w:rFonts w:ascii="Arial" w:hAnsi="Arial" w:eastAsia="Arial"/>
                      <w:color w:val="000000"/>
                      <w:sz w:val="16"/>
                    </w:rPr>
                    <w:t xml:space="preserve">1. Evidencijski broj nabave</w:t>
                  </w:r>
                </w:p>
                <w:p>
                  <w:pPr>
                    <w:spacing w:after="0" w:line="240" w:lineRule="auto"/>
                    <w:ind w:left="99"/>
                    <w:jc w:val="left"/>
                  </w:pPr>
                  <w:r>
                    <w:rPr>
                      <w:rFonts w:ascii="Arial" w:hAnsi="Arial" w:eastAsia="Arial"/>
                      <w:color w:val="000000"/>
                      <w:sz w:val="16"/>
                    </w:rPr>
                    <w:t xml:space="preserve">2. Predmet nabave</w:t>
                  </w:r>
                </w:p>
                <w:p>
                  <w:pPr>
                    <w:spacing w:after="0" w:line="240" w:lineRule="auto"/>
                    <w:ind w:left="99"/>
                    <w:jc w:val="left"/>
                  </w:pPr>
                  <w:r>
                    <w:rPr>
                      <w:rFonts w:ascii="Arial" w:hAnsi="Arial" w:eastAsia="Arial"/>
                      <w:color w:val="000000"/>
                      <w:sz w:val="16"/>
                    </w:rPr>
                    <w:t xml:space="preserve">3. Brojčana oznaka predmeta nabave iz Jedinstvenog rječnika javne nabave (CPV)</w:t>
                  </w:r>
                </w:p>
                <w:p>
                  <w:pPr>
                    <w:spacing w:after="0" w:line="240" w:lineRule="auto"/>
                    <w:ind w:left="99"/>
                    <w:jc w:val="left"/>
                  </w:pPr>
                  <w:r>
                    <w:rPr>
                      <w:rFonts w:ascii="Arial" w:hAnsi="Arial" w:eastAsia="Arial"/>
                      <w:color w:val="000000"/>
                      <w:sz w:val="16"/>
                    </w:rPr>
                    <w:t xml:space="preserve">4. Broj objave iz EOJN RH</w:t>
                  </w:r>
                </w:p>
                <w:p>
                  <w:pPr>
                    <w:spacing w:after="0" w:line="240" w:lineRule="auto"/>
                    <w:ind w:left="99"/>
                    <w:jc w:val="left"/>
                  </w:pPr>
                  <w:r>
                    <w:rPr>
                      <w:rFonts w:ascii="Arial" w:hAnsi="Arial" w:eastAsia="Arial"/>
                      <w:color w:val="000000"/>
                      <w:sz w:val="16"/>
                    </w:rPr>
                    <w:t xml:space="preserve">5. Vrsta postupka (uključujući posebne režime nabave i jednostavnu nabavu)</w:t>
                  </w:r>
                </w:p>
                <w:p>
                  <w:pPr>
                    <w:spacing w:after="0" w:line="240" w:lineRule="auto"/>
                    <w:ind w:left="99"/>
                    <w:jc w:val="left"/>
                  </w:pPr>
                  <w:r>
                    <w:rPr>
                      <w:rFonts w:ascii="Arial" w:hAnsi="Arial" w:eastAsia="Arial"/>
                      <w:color w:val="000000"/>
                      <w:sz w:val="16"/>
                    </w:rPr>
                    <w:t xml:space="preserve">6. Naziv i OIB ugovaratelja</w:t>
                  </w:r>
                </w:p>
                <w:p>
                  <w:pPr>
                    <w:spacing w:after="0" w:line="240" w:lineRule="auto"/>
                    <w:ind w:left="99"/>
                    <w:jc w:val="left"/>
                  </w:pPr>
                  <w:r>
                    <w:rPr>
                      <w:rFonts w:ascii="Arial" w:hAnsi="Arial" w:eastAsia="Arial"/>
                      <w:color w:val="000000"/>
                      <w:sz w:val="16"/>
                    </w:rPr>
                    <w:t xml:space="preserve">7. Naziv i OIB podugovaratelja</w:t>
                  </w:r>
                </w:p>
                <w:p>
                  <w:pPr>
                    <w:spacing w:after="0" w:line="240" w:lineRule="auto"/>
                    <w:ind w:left="99"/>
                    <w:jc w:val="left"/>
                  </w:pPr>
                  <w:r>
                    <w:rPr>
                      <w:rFonts w:ascii="Arial" w:hAnsi="Arial" w:eastAsia="Arial"/>
                      <w:color w:val="000000"/>
                      <w:sz w:val="16"/>
                    </w:rPr>
                    <w:t xml:space="preserve">8. Datum sklapanja ugovora ili okvirnog sporazuma u pisanom obliku, uključujući ugovore na temelju okvirnog sporazuma</w:t>
                  </w:r>
                </w:p>
                <w:p>
                  <w:pPr>
                    <w:spacing w:after="0" w:line="240" w:lineRule="auto"/>
                    <w:ind w:left="99"/>
                    <w:jc w:val="left"/>
                  </w:pPr>
                  <w:r>
                    <w:rPr>
                      <w:rFonts w:ascii="Arial" w:hAnsi="Arial" w:eastAsia="Arial"/>
                      <w:color w:val="000000"/>
                      <w:sz w:val="16"/>
                    </w:rPr>
                    <w:t xml:space="preserve">9. Oznaka/broj ugovora</w:t>
                  </w:r>
                </w:p>
                <w:p>
                  <w:pPr>
                    <w:spacing w:after="0" w:line="240" w:lineRule="auto"/>
                    <w:ind w:left="99"/>
                    <w:jc w:val="left"/>
                  </w:pPr>
                  <w:r>
                    <w:rPr>
                      <w:rFonts w:ascii="Arial" w:hAnsi="Arial" w:eastAsia="Arial"/>
                      <w:color w:val="000000"/>
                      <w:sz w:val="16"/>
                    </w:rPr>
                    <w:t xml:space="preserve">10. Rok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11. Iznos bez PDV-a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12. Iznos PDV-a</w:t>
                  </w:r>
                </w:p>
                <w:p>
                  <w:pPr>
                    <w:spacing w:after="0" w:line="240" w:lineRule="auto"/>
                    <w:ind w:left="99"/>
                    <w:jc w:val="left"/>
                  </w:pPr>
                  <w:r>
                    <w:rPr>
                      <w:rFonts w:ascii="Arial" w:hAnsi="Arial" w:eastAsia="Arial"/>
                      <w:color w:val="000000"/>
                      <w:sz w:val="16"/>
                    </w:rPr>
                    <w:t xml:space="preserve">13. Ukupni iznos s PDV-om na koji je ugovor ili okvirni sporazum sklopljen, uključujući ugovore na temelju okvirnog sporazuma</w:t>
                  </w:r>
                </w:p>
                <w:p>
                  <w:pPr>
                    <w:spacing w:after="0" w:line="240" w:lineRule="auto"/>
                    <w:ind w:left="99"/>
                    <w:jc w:val="left"/>
                  </w:pPr>
                  <w:r>
                    <w:rPr>
                      <w:rFonts w:ascii="Arial" w:hAnsi="Arial" w:eastAsia="Arial"/>
                      <w:color w:val="000000"/>
                      <w:sz w:val="16"/>
                    </w:rPr>
                    <w:t xml:space="preserve">14. Ugovor se financira iz fondova EU</w:t>
                  </w:r>
                </w:p>
                <w:p>
                  <w:pPr>
                    <w:spacing w:after="0" w:line="240" w:lineRule="auto"/>
                    <w:ind w:left="99"/>
                    <w:jc w:val="left"/>
                  </w:pPr>
                  <w:r>
                    <w:rPr>
                      <w:rFonts w:ascii="Arial" w:hAnsi="Arial" w:eastAsia="Arial"/>
                      <w:color w:val="000000"/>
                      <w:sz w:val="16"/>
                    </w:rPr>
                    <w:t xml:space="preserve">15. Datum kada je ugovor ili okvirni sporazum, uključujući ugovore na temelju okvirnog sporazuma, izvršen u cijelosti ili navod da je isti raskinut prije isteka roka na koji je sklopljen</w:t>
                  </w:r>
                </w:p>
                <w:p>
                  <w:pPr>
                    <w:spacing w:after="0" w:line="240" w:lineRule="auto"/>
                    <w:ind w:left="99"/>
                    <w:jc w:val="left"/>
                  </w:pPr>
                  <w:r>
                    <w:rPr>
                      <w:rFonts w:ascii="Arial" w:hAnsi="Arial" w:eastAsia="Arial"/>
                      <w:color w:val="000000"/>
                      <w:sz w:val="16"/>
                    </w:rPr>
                    <w:t xml:space="preserve">16. Ukupni isplaćeni iznos ugovaratelju s PDV-om na temelju sklopljenog ugovora ili okvirnog sporazuma, uključujući ugovore na temelju okvirnog sporazuma</w:t>
                  </w:r>
                </w:p>
                <w:p>
                  <w:pPr>
                    <w:spacing w:after="0" w:line="240" w:lineRule="auto"/>
                    <w:ind w:left="99"/>
                    <w:jc w:val="left"/>
                  </w:pPr>
                  <w:r>
                    <w:rPr>
                      <w:rFonts w:ascii="Arial" w:hAnsi="Arial" w:eastAsia="Arial"/>
                      <w:color w:val="000000"/>
                      <w:sz w:val="16"/>
                    </w:rPr>
                    <w:t xml:space="preserve">17. Obrazloženje ako je iznos koji je isplaćen ugovaratelju veći od iznosa na koji je ugovor ili okvirni sporazum sklopljen, uključujući ugovore na temelju okvirnog sporazuma, odnosno razlozi zbog kojih je isti raskinut prije isteka njegova trajanja</w:t>
                  </w:r>
                </w:p>
                <w:p>
                  <w:pPr>
                    <w:spacing w:after="0" w:line="240" w:lineRule="auto"/>
                    <w:ind w:left="99"/>
                    <w:jc w:val="left"/>
                  </w:pPr>
                  <w:r>
                    <w:rPr>
                      <w:rFonts w:ascii="Arial" w:hAnsi="Arial" w:eastAsia="Arial"/>
                      <w:color w:val="000000"/>
                      <w:sz w:val="16"/>
                    </w:rPr>
                    <w:t xml:space="preserve">18. Napomena</w:t>
                  </w:r>
                </w:p>
              </w:tc>
            </w:tr>
          </w:tbl>
          <w:p>
            <w:pPr>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r>
        <w:trPr>
          <w:trHeight w:val="108" w:hRule="atLeast"/>
        </w:trPr>
        <w:tc>
          <w:tcPr>
            <w:tcW w:w="35" w:type="dxa"/>
          </w:tcPr>
          <w:p>
            <w:pPr>
              <w:pStyle w:val="EmptyCellLayoutStyle"/>
              <w:spacing w:after="0" w:line="240" w:lineRule="auto"/>
            </w:pPr>
          </w:p>
        </w:tc>
        <w:tc>
          <w:tcPr>
            <w:tcW w:w="0" w:type="dxa"/>
          </w:tcPr>
          <w:p>
            <w:pPr>
              <w:pStyle w:val="EmptyCellLayoutStyle"/>
              <w:spacing w:after="0" w:line="240" w:lineRule="auto"/>
            </w:pPr>
          </w:p>
        </w:tc>
        <w:tc>
          <w:tcPr>
            <w:tcW w:w="21044" w:type="dxa"/>
          </w:tcPr>
          <w:p>
            <w:pPr>
              <w:pStyle w:val="EmptyCellLayoutStyle"/>
              <w:spacing w:after="0" w:line="240" w:lineRule="auto"/>
            </w:pPr>
          </w:p>
        </w:tc>
        <w:tc>
          <w:tcPr>
            <w:tcW w:w="3386" w:type="dxa"/>
          </w:tcPr>
          <w:p>
            <w:pPr>
              <w:pStyle w:val="EmptyCellLayoutStyle"/>
              <w:spacing w:after="0" w:line="240" w:lineRule="auto"/>
            </w:pPr>
          </w:p>
        </w:tc>
        <w:tc>
          <w:tcPr>
            <w:tcW w:w="524" w:type="dxa"/>
          </w:tcPr>
          <w:p>
            <w:pPr>
              <w:pStyle w:val="EmptyCellLayoutStyle"/>
              <w:spacing w:after="0" w:line="240" w:lineRule="auto"/>
            </w:pPr>
          </w:p>
        </w:tc>
      </w:tr>
    </w:tbl>
    <w:p>
      <w:pPr>
        <w:spacing w:after="0" w:line="240" w:lineRule="auto"/>
      </w:pPr>
    </w:p>
    <w:sectPr w:rsidRPr="" w:rsidDel="" w:rsidR="" w:rsidSect="">
      <w:headerReference r:id="rId5" w:type="default"/>
      <w:footerReference r:id="rId7" w:type="default"/>
      <w:pgSz w:w="27259" w:h="16837"/>
      <w:pgMar w:top="1133" w:right="1133" w:bottom="1133" w:left="1133" w:header="" w:footer="" w:gutter=""/>
    </w:sectPr>
  </w:body>
</w:document>
</file>

<file path=word/footer1.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35"/>
      <w:gridCol w:w="21044"/>
      <w:gridCol w:w="3911"/>
    </w:tblGrid>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tbl>
          <w:tblPr>
            <w:tblCellMar>
              <w:top w:w="0" w:type="dxa"/>
              <w:left w:w="0" w:type="dxa"/>
              <w:bottom w:w="0" w:type="dxa"/>
              <w:right w:w="0" w:type="dxa"/>
            </w:tblCellMar>
          </w:tblPr>
          <w:tblGrid>
            <w:gridCol w:w="21044"/>
          </w:tblGrid>
          <w:tr>
            <w:trPr>
              <w:trHeight w:val="282" w:hRule="atLeast"/>
            </w:trPr>
            <w:tc>
              <w:tcPr>
                <w:tcW w:w="2104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Datum izvještaja: 23.07.2026 11:39</w:t>
                </w:r>
              </w:p>
            </w:tc>
          </w:tr>
        </w:tbl>
        <w:p>
          <w:pPr>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hMerge w:val="restart"/>
        </w:tcPr>
        <w:tbl>
          <w:tblPr>
            <w:tblCellMar>
              <w:top w:w="0" w:type="dxa"/>
              <w:left w:w="0" w:type="dxa"/>
              <w:bottom w:w="0" w:type="dxa"/>
              <w:right w:w="0" w:type="dxa"/>
            </w:tblCellMar>
          </w:tblPr>
          <w:tblGrid>
            <w:gridCol w:w="21080"/>
          </w:tblGrid>
          <w:tr>
            <w:trPr>
              <w:trHeight w:val="262" w:hRule="atLeast"/>
            </w:trPr>
            <w:tc>
              <w:tcPr>
                <w:tcW w:w="210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b/>
                    <w:color w:val="000000"/>
                    <w:sz w:val="16"/>
                  </w:rPr>
                  <w:t xml:space="preserve">Stranica </w:t>
                </w: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od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21044" w:type="dxa"/>
          <w:hMerge w:val="continue"/>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21044" w:type="dxa"/>
        </w:tcPr>
        <w:p>
          <w:pPr>
            <w:pStyle w:val="EmptyCellLayoutStyle"/>
            <w:spacing w:after="0" w:line="240" w:lineRule="auto"/>
          </w:pPr>
        </w:p>
      </w:tc>
      <w:tc>
        <w:tcPr>
          <w:tcW w:w="3911" w:type="dxa"/>
        </w:tcPr>
        <w:p>
          <w:pPr>
            <w:pStyle w:val="EmptyCellLayoutStyle"/>
            <w:spacing w:after="0" w:line="240" w:lineRule="auto"/>
          </w:pPr>
        </w:p>
      </w:tc>
    </w:tr>
  </w:tbl>
</w:ftr>
</file>

<file path=word/header0.xml><?xml version="1.0" encoding="utf-8"?>
<w:hd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35"/>
      <w:gridCol w:w="1417"/>
      <w:gridCol w:w="19627"/>
      <w:gridCol w:w="3911"/>
    </w:tblGrid>
    <w:tr>
      <w:trPr/>
      <w:tc>
        <w:tcPr>
          <w:tcW w:w="35" w:type="dxa"/>
        </w:tcPr>
        <w:p>
          <w:pPr>
            <w:pStyle w:val="EmptyCellLayoutStyle"/>
            <w:spacing w:after="0" w:line="240" w:lineRule="auto"/>
          </w:pPr>
        </w:p>
      </w:tc>
      <w:tc>
        <w:tcPr>
          <w:tcW w:w="1417" w:type="dxa"/>
        </w:tcPr>
        <w:p>
          <w:pPr>
            <w:pStyle w:val="EmptyCellLayoutStyle"/>
            <w:spacing w:after="0" w:line="240" w:lineRule="auto"/>
          </w:pPr>
        </w:p>
      </w:tc>
      <w:tc>
        <w:tcPr>
          <w:tcW w:w="19627"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791328" cy="263776"/>
                <wp:docPr id="0" name="img3.png"/>
                <a:graphic>
                  <a:graphicData uri="http://schemas.openxmlformats.org/drawingml/2006/picture">
                    <pic:pic>
                      <pic:nvPicPr>
                        <pic:cNvPr id="1" name="img3.png"/>
                        <pic:cNvPicPr/>
                      </pic:nvPicPr>
                      <pic:blipFill>
                        <a:blip r:embed="rId6" cstate="print"/>
                        <a:stretch>
                          <a:fillRect r="0" b="0"/>
                        </a:stretch>
                      </pic:blipFill>
                      <pic:spPr>
                        <a:xfrm>
                          <a:off x="0" y="0"/>
                          <a:ext cx="791328" cy="263776"/>
                        </a:xfrm>
                        <a:prstGeom prst="rect">
                          <a:avLst/>
                        </a:prstGeom>
                      </pic:spPr>
                    </pic:pic>
                  </a:graphicData>
                </a:graphic>
              </wp:inline>
            </w:drawing>
          </w:r>
        </w:p>
      </w:tc>
      <w:tc>
        <w:tcPr>
          <w:tcW w:w="19627"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continue"/>
        </w:tcPr>
        <w:p>
          <w:pPr>
            <w:pStyle w:val="EmptyCellLayoutStyle"/>
            <w:spacing w:after="0" w:line="240" w:lineRule="auto"/>
          </w:pPr>
        </w:p>
      </w:tc>
      <w:tc>
        <w:tcPr>
          <w:tcW w:w="19627" w:type="dxa"/>
        </w:tcPr>
        <w:tbl>
          <w:tblPr>
            <w:tblCellMar>
              <w:top w:w="0" w:type="dxa"/>
              <w:left w:w="0" w:type="dxa"/>
              <w:bottom w:w="0" w:type="dxa"/>
              <w:right w:w="0" w:type="dxa"/>
            </w:tblCellMar>
          </w:tblPr>
          <w:tblGrid>
            <w:gridCol w:w="19627"/>
          </w:tblGrid>
          <w:tr>
            <w:trPr>
              <w:trHeight w:val="262" w:hRule="atLeast"/>
            </w:trPr>
            <w:tc>
              <w:tcPr>
                <w:tcW w:w="19627"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24"/>
                  </w:rPr>
                  <w:t xml:space="preserve">REGISTAR UGOVORA</w:t>
                </w:r>
              </w:p>
            </w:tc>
          </w:tr>
        </w:tbl>
        <w:p>
          <w:pPr>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vMerge w:val="continue"/>
        </w:tcPr>
        <w:p>
          <w:pPr>
            <w:pStyle w:val="EmptyCellLayoutStyle"/>
            <w:spacing w:after="0" w:line="240" w:lineRule="auto"/>
          </w:pPr>
        </w:p>
      </w:tc>
      <w:tc>
        <w:tcPr>
          <w:tcW w:w="19627" w:type="dxa"/>
        </w:tcPr>
        <w:p>
          <w:pPr>
            <w:pStyle w:val="EmptyCellLayoutStyle"/>
            <w:spacing w:after="0" w:line="240" w:lineRule="auto"/>
          </w:pPr>
        </w:p>
      </w:tc>
      <w:tc>
        <w:tcPr>
          <w:tcW w:w="3911" w:type="dxa"/>
        </w:tcPr>
        <w:p>
          <w:pPr>
            <w:pStyle w:val="EmptyCellLayoutStyle"/>
            <w:spacing w:after="0" w:line="240" w:lineRule="auto"/>
          </w:pPr>
        </w:p>
      </w:tc>
    </w:tr>
    <w:tr>
      <w:trPr/>
      <w:tc>
        <w:tcPr>
          <w:tcW w:w="35" w:type="dxa"/>
        </w:tcPr>
        <w:p>
          <w:pPr>
            <w:pStyle w:val="EmptyCellLayoutStyle"/>
            <w:spacing w:after="0" w:line="240" w:lineRule="auto"/>
          </w:pPr>
        </w:p>
      </w:tc>
      <w:tc>
        <w:tcPr>
          <w:tcW w:w="1417" w:type="dxa"/>
        </w:tcPr>
        <w:p>
          <w:pPr>
            <w:pStyle w:val="EmptyCellLayoutStyle"/>
            <w:spacing w:after="0" w:line="240" w:lineRule="auto"/>
          </w:pPr>
        </w:p>
      </w:tc>
      <w:tc>
        <w:tcPr>
          <w:tcW w:w="19627" w:type="dxa"/>
        </w:tcPr>
        <w:p>
          <w:pPr>
            <w:pStyle w:val="EmptyCellLayoutStyle"/>
            <w:spacing w:after="0" w:line="240" w:lineRule="auto"/>
          </w:pPr>
        </w:p>
      </w:tc>
      <w:tc>
        <w:tcPr>
          <w:tcW w:w="3911" w:type="dxa"/>
        </w:tcPr>
        <w:p>
          <w:pPr>
            <w:pStyle w:val="EmptyCellLayoutStyle"/>
            <w:spacing w:after="0" w:line="240" w:lineRule="auto"/>
          </w:pPr>
        </w:p>
      </w:tc>
    </w:tr>
  </w:tbl>
</w:hd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
    <w:nsid w:val="00000004"/>
    <w:multiLevelType w:val="multilevel"/>
    <w:tmpl w:val="0000000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
    <w:nsid w:val="00000005"/>
    <w:multiLevelType w:val="multilevel"/>
    <w:tmpl w:val="0000000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
    <w:nsid w:val="00000006"/>
    <w:multiLevelType w:val="multilevel"/>
    <w:tmpl w:val="0000000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
    <w:nsid w:val="00000007"/>
    <w:multiLevelType w:val="multilevel"/>
    <w:tmpl w:val="0000000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
    <w:nsid w:val="00000008"/>
    <w:multiLevelType w:val="multilevel"/>
    <w:tmpl w:val="0000000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
    <w:nsid w:val="00000009"/>
    <w:multiLevelType w:val="multilevel"/>
    <w:tmpl w:val="0000000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
    <w:nsid w:val="0000000A"/>
    <w:multiLevelType w:val="multilevel"/>
    <w:tmpl w:val="0000000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
    <w:nsid w:val="0000000B"/>
    <w:multiLevelType w:val="multilevel"/>
    <w:tmpl w:val="0000000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
    <w:nsid w:val="0000000C"/>
    <w:multiLevelType w:val="multilevel"/>
    <w:tmpl w:val="0000000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
    <w:nsid w:val="0000000D"/>
    <w:multiLevelType w:val="multilevel"/>
    <w:tmpl w:val="0000000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
    <w:nsid w:val="0000000E"/>
    <w:multiLevelType w:val="multilevel"/>
    <w:tmpl w:val="0000000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
    <w:nsid w:val="0000000F"/>
    <w:multiLevelType w:val="multilevel"/>
    <w:tmpl w:val="0000000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
    <w:nsid w:val="00000010"/>
    <w:multiLevelType w:val="multilevel"/>
    <w:tmpl w:val="0000001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
    <w:nsid w:val="00000011"/>
    <w:multiLevelType w:val="multilevel"/>
    <w:tmpl w:val="0000001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
    <w:nsid w:val="00000012"/>
    <w:multiLevelType w:val="multilevel"/>
    <w:tmpl w:val="0000001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
    <w:nsid w:val="00000013"/>
    <w:multiLevelType w:val="multilevel"/>
    <w:tmpl w:val="0000001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
    <w:nsid w:val="00000014"/>
    <w:multiLevelType w:val="multilevel"/>
    <w:tmpl w:val="0000001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header" Target="/word/header0.xml" Id="rId5" /><Relationship Type="http://schemas.openxmlformats.org/officeDocument/2006/relationships/footer" Target="/word/footer1.xml" Id="rId7" /><Relationship Type="http://schemas.openxmlformats.org/officeDocument/2006/relationships/numbering" Target="/word/numbering.xml" Id="rId9" /></Relationships>
</file>

<file path=word/_rels/header0.xml.rels>&#65279;<?xml version="1.0" encoding="utf-8"?><Relationships xmlns="http://schemas.openxmlformats.org/package/2006/relationships"><Relationship Type="http://schemas.openxmlformats.org/officeDocument/2006/relationships/image" Target="/word/media/img3.png" Id="rId6"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RPT_Ugovor</dc:title>
</cp:coreProperties>
</file>